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ru-RU"/>
        </w:rPr>
        <w:t>Инструкция по применению</w:t>
      </w:r>
    </w:p>
    <w:p>
      <w:pPr>
        <w:pStyle w:val="Normal"/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Специализированный пищевой продукт диетического профилактического питания - сухой экстракт моллюсков на белковом носителе</w:t>
      </w:r>
    </w:p>
    <w:p>
      <w:pPr>
        <w:pStyle w:val="WW"/>
        <w:rPr/>
      </w:pPr>
      <w:r>
        <w:rPr>
          <w:sz w:val="32"/>
          <w:szCs w:val="32"/>
        </w:rPr>
        <w:t>Кальций-репаратив</w:t>
      </w:r>
    </w:p>
    <w:p>
      <w:pPr>
        <w:pStyle w:val="Normal"/>
        <w:jc w:val="both"/>
        <w:rPr/>
      </w:pPr>
      <w:r>
        <w:rPr>
          <w:rFonts w:eastAsia="DejaVu Sans;Arial" w:cs="DejaVu Sans;Arial"/>
          <w:b w:val="false"/>
          <w:bCs w:val="false"/>
          <w:color w:val="000000"/>
          <w:sz w:val="24"/>
          <w:szCs w:val="24"/>
          <w:lang w:val="ru-RU" w:eastAsia="zh-CN" w:bidi="en-US"/>
        </w:rPr>
        <w:t xml:space="preserve"> </w:t>
      </w:r>
      <w:r>
        <w:rPr>
          <w:rFonts w:eastAsia="DejaVu Sans;Arial" w:cs="DejaVu Sans;Arial"/>
          <w:b w:val="false"/>
          <w:bCs w:val="false"/>
          <w:color w:val="000000"/>
          <w:sz w:val="24"/>
          <w:szCs w:val="24"/>
          <w:lang w:val="ru-RU" w:eastAsia="zh-CN" w:bidi="en-US"/>
        </w:rPr>
        <w:t xml:space="preserve">Композиция биологически активных соединений оптимизирующая обмен кальция в организме за счёт стимулирования постройки в костной ткани нового костного матрикса. Новый костный матрикс, состоящий из коллагеновой матрицы (коллаген I типа) с сопутствующими белками автоматически заполняется кристаллами гидроксиапатита кальция (солями кальция) при нормальной концентрации кальция в плазме крови. Таким образом, благодаря стимулирующему действию на биосинтетическую активность остеобластов в костной ткани и фибробластов в соединительной ткани данный продукт ускоряет репаративные процессы в этих тканях. </w:t>
      </w:r>
    </w:p>
    <w:p>
      <w:pPr>
        <w:pStyle w:val="Normal"/>
        <w:jc w:val="both"/>
        <w:rPr/>
      </w:pPr>
      <w:r>
        <w:rPr>
          <w:rFonts w:eastAsia="DejaVu Sans;Arial" w:cs="DejaVu Sans;Arial"/>
          <w:b w:val="false"/>
          <w:bCs w:val="false"/>
          <w:color w:val="000000"/>
          <w:sz w:val="24"/>
          <w:szCs w:val="24"/>
          <w:lang w:val="ru-RU" w:eastAsia="zh-CN" w:bidi="en-US"/>
        </w:rPr>
        <w:t xml:space="preserve">При избыточных отложениях кальциевых солей продукт способствует их растворению, оптимизируя таким образом баланс кальция в организме. </w:t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За счёт ускорения метаболизма продукт активизирует репаративные процессы, значительно ускоряется заживление раневых поверхностей любой локализации, рассасывание гематом, восстановительные процессы в мышечных, костных тканях при ушибах и переломах, в связках и сухожилиях — при растяжениях и порывах.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Продукт повышает эластичность связок и укрепляет связочный аппарат, в том числе при возрастных изменениях. При длительном приеме увеличенных доз продукта в сочетании с рационом питания, обогащенным белками, в частности, коллагеном, возможно частичное восстановление эластичных тканей межпозвоночных дисков.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Продукт улучшает приживаемость имплантатов, </w:t>
      </w:r>
      <w:r>
        <w:rPr>
          <w:rFonts w:eastAsia="DejaVu Sans;Arial" w:cs="DejaVu Sans;Arial"/>
          <w:b w:val="false"/>
          <w:bCs w:val="false"/>
          <w:color w:val="000000"/>
          <w:sz w:val="24"/>
          <w:szCs w:val="24"/>
          <w:lang w:val="ru-RU" w:eastAsia="zh-CN" w:bidi="en-US"/>
        </w:rPr>
        <w:t>уменьшает образование рубцовой ткани.</w:t>
      </w:r>
    </w:p>
    <w:p>
      <w:pPr>
        <w:pStyle w:val="Normal"/>
        <w:jc w:val="left"/>
        <w:rPr/>
      </w:pPr>
      <w:r>
        <w:rPr>
          <w:rFonts w:eastAsia="DejaVu Sans" w:cs="FreeSans"/>
          <w:b/>
          <w:bCs/>
          <w:color w:val="00000A"/>
          <w:sz w:val="24"/>
          <w:szCs w:val="24"/>
          <w:u w:val="none"/>
          <w:lang w:val="ru-RU" w:eastAsia="zh-CN" w:bidi="hi-IN"/>
        </w:rPr>
        <w:t>Состав:</w:t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 w:val="false"/>
          <w:bCs w:val="false"/>
          <w:sz w:val="24"/>
          <w:szCs w:val="24"/>
        </w:rPr>
        <w:t>белковый носитель - сушён</w:t>
      </w:r>
      <w:r>
        <w:rPr>
          <w:b w:val="false"/>
          <w:bCs w:val="false"/>
          <w:sz w:val="24"/>
          <w:szCs w:val="24"/>
        </w:rPr>
        <w:t>ая</w:t>
      </w:r>
      <w:r>
        <w:rPr>
          <w:b w:val="false"/>
          <w:bCs w:val="false"/>
          <w:sz w:val="24"/>
          <w:szCs w:val="24"/>
        </w:rPr>
        <w:t xml:space="preserve"> ( свинина </w:t>
      </w:r>
      <w:r>
        <w:rPr>
          <w:b w:val="false"/>
          <w:bCs w:val="false"/>
          <w:sz w:val="24"/>
          <w:szCs w:val="24"/>
        </w:rPr>
        <w:t>или</w:t>
      </w:r>
      <w:r>
        <w:rPr>
          <w:b w:val="false"/>
          <w:bCs w:val="false"/>
          <w:sz w:val="24"/>
          <w:szCs w:val="24"/>
        </w:rPr>
        <w:t xml:space="preserve"> курятина </w:t>
      </w:r>
      <w:r>
        <w:rPr>
          <w:b w:val="false"/>
          <w:bCs w:val="false"/>
          <w:sz w:val="24"/>
          <w:szCs w:val="24"/>
        </w:rPr>
        <w:t>или</w:t>
      </w:r>
      <w:r>
        <w:rPr>
          <w:b w:val="false"/>
          <w:bCs w:val="false"/>
          <w:sz w:val="24"/>
          <w:szCs w:val="24"/>
        </w:rPr>
        <w:t xml:space="preserve"> телятина), сухой экстракт морских моллюсков, мумиё.</w:t>
      </w:r>
    </w:p>
    <w:p>
      <w:pPr>
        <w:pStyle w:val="Normal"/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Не содержит соли и консервантов.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Пищевая ценность: (</w:t>
      </w:r>
      <w:r>
        <w:rPr>
          <w:b w:val="false"/>
          <w:bCs w:val="false"/>
          <w:sz w:val="24"/>
          <w:szCs w:val="24"/>
          <w:u w:val="none"/>
        </w:rPr>
        <w:t xml:space="preserve">г </w:t>
      </w:r>
      <w:bookmarkStart w:id="0" w:name="__DdeLink__3703_11685742041"/>
      <w:r>
        <w:rPr>
          <w:b w:val="false"/>
          <w:bCs w:val="false"/>
          <w:sz w:val="24"/>
          <w:szCs w:val="24"/>
          <w:u w:val="none"/>
        </w:rPr>
        <w:t>на 100 г продукта</w:t>
      </w:r>
      <w:bookmarkEnd w:id="0"/>
      <w:r>
        <w:rPr>
          <w:b w:val="false"/>
          <w:bCs w:val="false"/>
          <w:sz w:val="24"/>
          <w:szCs w:val="24"/>
          <w:u w:val="none"/>
        </w:rPr>
        <w:t>)</w:t>
        <w:br/>
        <w:t xml:space="preserve">Белки - 59 </w:t>
        <w:br/>
        <w:t>Жиры -30</w:t>
        <w:br/>
        <w:t>Углеводы - 1,4</w:t>
        <w:br/>
        <w:t>Калорийность - 510 ккал (2134 кДж)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none"/>
        </w:rPr>
        <w:t>Показания к применению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Остеопорозы различной этиологии, в том числе иммобилизационные и связанные с возрастными изменениями;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Повреждения костной ткани;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Травмы связок, ушибы, гематомы;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Наличие раневых поверхностей любой локализации, хирургические вмешательства;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</w:rPr>
      </w:pPr>
      <w:r>
        <w:rPr>
          <w:b/>
          <w:bCs/>
          <w:sz w:val="20"/>
          <w:szCs w:val="20"/>
        </w:rPr>
        <w:t>Деформирующие артрозы, остеохондрозы, подагра;</w:t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Возрастные изменения связочного аппарата и эластичных тканей позвоночника.</w:t>
      </w:r>
    </w:p>
    <w:p>
      <w:pPr>
        <w:pStyle w:val="Normal"/>
        <w:jc w:val="both"/>
        <w:rPr>
          <w:u w:val="none"/>
        </w:rPr>
      </w:pPr>
      <w:r>
        <w:rPr>
          <w:b/>
          <w:bCs/>
          <w:sz w:val="20"/>
          <w:szCs w:val="20"/>
          <w:u w:val="none"/>
        </w:rPr>
        <w:t>Способ применения</w:t>
      </w:r>
    </w:p>
    <w:p>
      <w:pPr>
        <w:pStyle w:val="TextBody"/>
        <w:spacing w:before="0" w:after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Принимать по одной</w:t>
      </w:r>
      <w:bookmarkStart w:id="1" w:name="_GoBack"/>
      <w:bookmarkEnd w:id="1"/>
      <w:r>
        <w:rPr>
          <w:sz w:val="20"/>
          <w:szCs w:val="20"/>
        </w:rPr>
        <w:t xml:space="preserve"> мерной ложке (без горки) натощак утром и вечером за 15 минут до еды. Одна мерная ложка соответствует 4,5 г продукта. Разовую дозу продукта лучше принимать в сухом виде небольшими порциями, последовательно разжевывая; при необходимости запить небольшим количеством воды.</w:t>
      </w:r>
    </w:p>
    <w:p>
      <w:pPr>
        <w:pStyle w:val="TextBody"/>
        <w:spacing w:before="0" w:after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При сложных случаях (переломы, переломы со смещением, сильные боли) разовую дозу возможно увеличить в 2 раза. </w:t>
      </w:r>
    </w:p>
    <w:p>
      <w:pPr>
        <w:pStyle w:val="TextBody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Для ускорения процессов регенерации дополнительно рекомендуется употреблять в день не менее 60 г отварного мяса (грудка птицы, свинина, оленина, а также бульон из этих видов мяса без соли, с морковью и укропом); продукты с высоким содержанием кальция (молоко, сыр, творог и др.). </w:t>
      </w:r>
    </w:p>
    <w:p>
      <w:pPr>
        <w:pStyle w:val="TextBody"/>
        <w:spacing w:before="0" w:after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Для восстановления связочного аппарата и эластичных тканей межпозвоночных дисков рекомендуется  употреблять коллагенсодержащие продукты питания - холодец, кальмар, солёное свиное сало со спины и ребер.</w:t>
      </w:r>
    </w:p>
    <w:p>
      <w:pPr>
        <w:pStyle w:val="Normal"/>
        <w:jc w:val="both"/>
        <w:rPr>
          <w:u w:val="none"/>
        </w:rPr>
      </w:pPr>
      <w:r>
        <w:rPr>
          <w:b/>
          <w:bCs/>
          <w:sz w:val="20"/>
          <w:szCs w:val="20"/>
          <w:u w:val="none"/>
        </w:rPr>
        <w:t>Особые указания</w:t>
      </w:r>
      <w:r>
        <w:rPr>
          <w:sz w:val="20"/>
          <w:szCs w:val="20"/>
          <w:u w:val="none"/>
        </w:rPr>
        <w:t xml:space="preserve"> </w:t>
      </w:r>
    </w:p>
    <w:p>
      <w:pPr>
        <w:pStyle w:val="TextBody"/>
        <w:spacing w:before="0" w:after="0"/>
        <w:jc w:val="both"/>
        <w:rPr/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Продукт совместим с любыми лекарственными средствами. Возможна индивидуальная непереносимость компонентов продукта. Не имеет возрастных ограничений. Детям, беременным и кормящим женщинам принимать в соответствии с рекомендациями лечащего врача.</w:t>
      </w:r>
    </w:p>
    <w:p>
      <w:pPr>
        <w:pStyle w:val="Normal"/>
        <w:jc w:val="both"/>
        <w:rPr>
          <w:b/>
          <w:b/>
          <w:bCs/>
          <w:u w:val="none"/>
        </w:rPr>
      </w:pPr>
      <w:r>
        <w:rPr>
          <w:b/>
          <w:bCs/>
          <w:sz w:val="20"/>
          <w:szCs w:val="20"/>
          <w:u w:val="none"/>
        </w:rPr>
        <w:t>Условия хранения и срок годности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При температуре от 0° до +5°С – 6 месяцев с даты изготовления, после вскрытия оригинальной упаковки – не более 2 месяцев. Беречь от влаги.</w:t>
      </w:r>
    </w:p>
    <w:p>
      <w:pPr>
        <w:pStyle w:val="Normal"/>
        <w:jc w:val="both"/>
        <w:rPr/>
      </w:pPr>
      <w:r>
        <w:rPr>
          <w:b/>
          <w:sz w:val="22"/>
          <w:szCs w:val="24"/>
        </w:rPr>
        <w:t>Изготовитель:</w:t>
      </w:r>
      <w:r>
        <w:rPr>
          <w:sz w:val="22"/>
          <w:szCs w:val="24"/>
        </w:rPr>
        <w:t xml:space="preserve"> </w:t>
      </w:r>
      <w:r>
        <w:rPr>
          <w:sz w:val="18"/>
          <w:szCs w:val="18"/>
        </w:rPr>
        <w:t xml:space="preserve">ООО "Научно-исследовательский центр "НТР", г. Владивосток, </w:t>
      </w:r>
      <w:r>
        <w:rPr>
          <w:i/>
          <w:iCs/>
          <w:color w:val="000000"/>
          <w:sz w:val="18"/>
          <w:szCs w:val="18"/>
        </w:rPr>
        <w:t>тел: 8(423) 2</w:t>
      </w:r>
      <w:r>
        <w:rPr>
          <w:rFonts w:eastAsia="Times New Roman" w:cs="Times New Roman"/>
          <w:b w:val="false"/>
          <w:bCs w:val="false"/>
          <w:i/>
          <w:iCs/>
          <w:color w:val="000000"/>
          <w:sz w:val="18"/>
          <w:szCs w:val="18"/>
          <w:lang w:val="ru-RU" w:eastAsia="zh-CN" w:bidi="ar-SA"/>
        </w:rPr>
        <w:t xml:space="preserve">34-61-44. </w:t>
      </w:r>
    </w:p>
    <w:p>
      <w:pPr>
        <w:pStyle w:val="Normal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Изготовлено по технологии ООО «ЗДРАВА»,Владивосток.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0"/>
          <w:sz w:val="12"/>
          <w:szCs w:val="12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12"/>
          <w:szCs w:val="12"/>
          <w:lang w:val="ru-RU" w:eastAsia="zh-CN" w:bidi="ar-SA"/>
        </w:rPr>
      </w:r>
    </w:p>
    <w:p>
      <w:pPr>
        <w:pStyle w:val="Normal"/>
        <w:jc w:val="both"/>
        <w:rPr/>
      </w:pPr>
      <w:r>
        <w:rPr>
          <w:b/>
          <w:bCs/>
          <w:i/>
          <w:iCs/>
          <w:color w:val="000000"/>
          <w:sz w:val="18"/>
          <w:szCs w:val="28"/>
          <w:lang w:eastAsia="ru-RU"/>
        </w:rPr>
        <w:t>Свидетельство о государственной регистрации №               от</w:t>
      </w:r>
      <w:r>
        <w:rPr>
          <w:b/>
          <w:bCs/>
          <w:i/>
          <w:iCs/>
          <w:color w:val="000000"/>
          <w:sz w:val="28"/>
          <w:szCs w:val="28"/>
        </w:rPr>
        <w:t xml:space="preserve">           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FreeSans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8"/>
      <w:szCs w:val="2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" w:customStyle="1">
    <w:name w:val="Основной шрифт абзаца1"/>
    <w:qFormat/>
    <w:rPr/>
  </w:style>
  <w:style w:type="character" w:styleId="WW8Num6z0" w:customStyle="1">
    <w:name w:val="WW8Num6z0"/>
    <w:qFormat/>
    <w:rPr>
      <w:rFonts w:ascii="Symbol" w:hAnsi="Symbol" w:cs="Symbol"/>
      <w:sz w:val="28"/>
      <w:szCs w:val="28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d73af"/>
    <w:rPr>
      <w:rFonts w:ascii="Segoe UI" w:hAnsi="Segoe UI" w:eastAsia="DejaVu Sans" w:cs="Mangal"/>
      <w:sz w:val="18"/>
      <w:szCs w:val="16"/>
      <w:lang w:eastAsia="zh-CN" w:bidi="hi-IN"/>
    </w:rPr>
  </w:style>
  <w:style w:type="character" w:styleId="ListLabel1">
    <w:name w:val="ListLabel 1"/>
    <w:qFormat/>
    <w:rPr>
      <w:rFonts w:cs="Symbol"/>
      <w:b/>
      <w:sz w:val="20"/>
      <w:szCs w:val="28"/>
    </w:rPr>
  </w:style>
  <w:style w:type="character" w:styleId="ListLabel2">
    <w:name w:val="ListLabel 2"/>
    <w:qFormat/>
    <w:rPr>
      <w:rFonts w:cs="Symbol"/>
      <w:b/>
      <w:sz w:val="20"/>
      <w:szCs w:val="28"/>
    </w:rPr>
  </w:style>
  <w:style w:type="character" w:styleId="ListLabel3">
    <w:name w:val="ListLabel 3"/>
    <w:qFormat/>
    <w:rPr>
      <w:rFonts w:cs="Symbol"/>
      <w:b/>
      <w:sz w:val="20"/>
      <w:szCs w:val="28"/>
    </w:rPr>
  </w:style>
  <w:style w:type="character" w:styleId="ListLabel4">
    <w:name w:val="ListLabel 4"/>
    <w:qFormat/>
    <w:rPr>
      <w:rFonts w:cs="Symbol"/>
      <w:b/>
      <w:sz w:val="20"/>
      <w:szCs w:val="28"/>
    </w:rPr>
  </w:style>
  <w:style w:type="paragraph" w:styleId="Style15" w:customStyle="1">
    <w:name w:val="Заголовок"/>
    <w:basedOn w:val="Normal"/>
    <w:next w:val="Style16"/>
    <w:qFormat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/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WW" w:customStyle="1">
    <w:name w:val="WW-Заголовок"/>
    <w:basedOn w:val="Normal"/>
    <w:qFormat/>
    <w:pPr>
      <w:jc w:val="center"/>
    </w:pPr>
    <w:rPr>
      <w:b/>
      <w:sz w:val="44"/>
    </w:rPr>
  </w:style>
  <w:style w:type="paragraph" w:styleId="Style20">
    <w:name w:val="Подзаголовок"/>
    <w:basedOn w:val="Style15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d73af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Application>LibreOffice/5.0.3.2$Linux_X86_64 LibreOffice_project/00m0$Build-2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2015-09-28T08:49:00Z</dcterms:created>
  <dc:creator>АБ</dc:creator>
  <dc:language>ru-RU</dc:language>
  <cp:lastPrinted>2016-01-03T00:33:00Z</cp:lastPrinted>
  <dcterms:modified xsi:type="dcterms:W3CDTF">2017-12-22T10:37:40Z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